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center"/>
        <w:rPr>
          <w:rFonts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2017年山东省软科学研究计划项目申报指南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一、重点项目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重点支持我省创新驱动战略实施和科技自主创新、新旧动能转换以及科技、经济、社会发展重大问题的创新研究，以服务决策需求，立足实际应用为导向。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（一）项目选题 (40项)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1、科技创新支撑我省实施新旧动能转换战略对策研究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2、山东省“以四新促四化”实现方式和发展路径研究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3、推进泛济青烟新旧动能转换综合试验先行区建设研究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4、以发展蓝色经济、高效生态经济为主导的山东创新型省份建设对策研究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5、山东省济青国家科技成果转移转化示范区建设模式及运行机制研究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6、依托山东半岛国家自主创新示范区建设具有全球影响力的海洋科技创新中心模式与路径研究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7、山东半岛国家自主创新示范区主导产业发展路径研究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8、山东半岛国家自主创新示范区创新发展指数研究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9、黄河三角洲国家农业高新区“新六产”发展路径与对策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10、科技创新推进农业供给侧结构性改革的思路与对策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11、山东省科技创新促进农村一二三产融合发展研究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12、山东国家可持续发展创新示范区建设模式研究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13、山东省区域性科技创新中心建设路径研究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14、进一步提升西部经济隆起带科技创新能力对策研究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15、深化高校、科研院所科研体制改革对策研究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16、新型研发机构创新发展机制研究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17、数字经济对山东培育经济发展新动能的影响及对策研究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18、大数据分析在社会信用体系建设与高效政府治理中的对策研究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19、建立具有山东特色的科技统计体系研究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20、高层次领军科技人才引进与培养的省际比较研究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21、基于科技体制改革的科技资源优化配置模式研究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22、专利增长指数与区域经济发展相关性研究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23、省属科研院所法人治理结构建设问题及对策研究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24、创建寿光国家农业高新区模式与路径研究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25、山东省与中国科学院合作新模式研究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26、增加山东省科技投入的路径与对策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27、深入推进军民融合科技创新体系建设的主要问题与对策研究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28、山东省科技项目第三方评价机制研究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29、山东石墨烯产业创新发展对策研究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30、“一带一路”战略背景下的山东现代综合交通体系对区域发展影响研究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31、振兴实体经济的金融供给侧改革研究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32、提高海水淡化及综合利用率对策研究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33、科技创新推进山东省健康产业发展对策研究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bookmarkStart w:id="0" w:name="_GoBack"/>
      <w:r>
        <w:rPr>
          <w:rFonts w:hint="eastAsia" w:ascii="微软雅黑" w:hAnsi="微软雅黑" w:eastAsia="微软雅黑" w:cs="微软雅黑"/>
          <w:b w:val="0"/>
          <w:i w:val="0"/>
          <w:caps w:val="0"/>
          <w:color w:val="333333"/>
          <w:spacing w:val="0"/>
          <w:sz w:val="24"/>
          <w:szCs w:val="24"/>
          <w:highlight w:val="yellow"/>
          <w:shd w:val="clear" w:fill="FFFFFF"/>
        </w:rPr>
        <w:t>34、科技创新支撑山东走在前列的举措研究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35、科技助力山东实现文化大省向文化强省转变的思路与措施研究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36、“政产学研金服用”相结合的技术创新体系研究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37、科技创新助力山东省十大新兴产业新旧动能转换思路与措施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38、山东省积极推进黄河生态经济带构建思路与措施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highlight w:val="yellow"/>
        </w:rPr>
      </w:pPr>
      <w:r>
        <w:rPr>
          <w:rFonts w:hint="eastAsia" w:ascii="微软雅黑" w:hAnsi="微软雅黑" w:eastAsia="微软雅黑" w:cs="微软雅黑"/>
          <w:b w:val="0"/>
          <w:i w:val="0"/>
          <w:caps w:val="0"/>
          <w:color w:val="333333"/>
          <w:spacing w:val="0"/>
          <w:sz w:val="24"/>
          <w:szCs w:val="24"/>
          <w:highlight w:val="yellow"/>
          <w:shd w:val="clear" w:fill="FFFFFF"/>
        </w:rPr>
        <w:t>39、山东省全力支持和协同对接河北雄安新区建设研究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40、山东省推进海洋经济发展示范区建设研究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（二）申报报送材料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申报重点项目须网上填写“山东省软科学研究计划重点项目申请书”，并报送纸质申请书一式三份。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（三）项目遴选方式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申报项目题目必须与发布的项目题目相一致,不得更改题目或加副标题，具体研究内容自行拟定。重点项目立项遴选参照招投标方式进行，对每个项目的多个申报者只确定1名最优者立项。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二、一般项目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般项目全部为自筹经费项目，以培养人才、挖掘优秀成果为目的。项目申报按选题领域自行设计选题和研究内容，鼓励自由探索。鼓励引导研究机构和研究人员形成常态化的先期预研究模式，注重研究积累和长期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（一）选题领域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 1.深化科技体制改革加快创新发展;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2.科技促进新旧动能转换与产业转型升级；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3.创新型省份建设与区域科技创新;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4.科技金融与科技民生；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5.知识产权与科技人才；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6.科技交流合作与军民科技融合；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7.科技创新创业与现代科技服务。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（二）申报报送材料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申报一般项目须网上填写项目基本信息表、申请书,并报送纸质申请书一份和基本信息表三份。基本信息表内容和文字表述不得直接或间接透露个人和单位相关信息，否则按评审不通过处理。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（三）申报说明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一般项目申报题目不得与本年度软科学重点项目重复。选题要以决策应用为导向，研究成果要具有针对性和可操作性。项目立项以阶段性研究成果作为立项遴选的重要参考依据。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b/>
          <w:i w:val="0"/>
          <w:caps w:val="0"/>
          <w:color w:val="333333"/>
          <w:spacing w:val="0"/>
          <w:sz w:val="24"/>
          <w:szCs w:val="24"/>
          <w:shd w:val="clear" w:fill="FFFFFF"/>
        </w:rPr>
        <w:t>三、项目研究要求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1、紧扣主题，目标明确。课题的整体设计条理清晰, 框架设计合理，具有鲜明的问题意识和较强的创新性。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2、方法得当，论证全面。项目研究重在深入调研分析当前形势及现状，积极运用先进理论、数据分析等新理论、新方法、新工具，坚持基础研究和应用对策研究相结合,学术性和应用性相结合。通过建立模型、动态模拟、数学工具等，对问题进行必要的简化与精确的描述，进行求解和分析。论证分析透彻，真实权威，逻辑清晰，观点明确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3、问题突出，对策适当。研究问题深入，提出问题有识，解决问题可行。对策建议要具有操作性、针对性和前瞻性。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D42E4"/>
    <w:rsid w:val="0C441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2017-09-20T03:26:10Z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